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5679019" w:edGrp="everyone" w:colFirst="0" w:colLast="0"/>
      <w:permStart w:id="1502761027" w:edGrp="everyone" w:colFirst="2" w:colLast="2"/>
      <w:tr w:rsidR="008B1D59" w:rsidRPr="004E410B" w:rsidTr="0033267C">
        <w:tc>
          <w:tcPr>
            <w:tcW w:w="1807" w:type="dxa"/>
            <w:tcBorders>
              <w:bottom w:val="single" w:sz="4" w:space="0" w:color="auto"/>
            </w:tcBorders>
          </w:tcPr>
          <w:p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C024F2" w:rsidRDefault="00625893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65679019"/>
      <w:permEnd w:id="1502761027"/>
      <w:tr w:rsidR="008B1D59" w:rsidRPr="004E410B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147093321" w:edGrp="everyone" w:colFirst="0" w:colLast="0"/>
            <w:r w:rsidRPr="00EC798A">
              <w:rPr>
                <w:sz w:val="28"/>
                <w:szCs w:val="28"/>
              </w:rPr>
              <w:t>О внесении изменени</w:t>
            </w:r>
            <w:r w:rsidR="00C25A5D">
              <w:rPr>
                <w:sz w:val="28"/>
                <w:szCs w:val="28"/>
              </w:rPr>
              <w:t>й</w:t>
            </w:r>
            <w:r w:rsidRPr="00EC798A">
              <w:rPr>
                <w:sz w:val="28"/>
                <w:szCs w:val="28"/>
              </w:rPr>
              <w:t xml:space="preserve"> в Постановление Администрации города Екатеринбурга от 24.06.2022 № 1743 «Об организации питания обучающихся </w:t>
            </w:r>
            <w:r w:rsidR="00126F84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</w:t>
            </w:r>
            <w:r w:rsidR="008828A4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первом полугодии 2022/2023 учебного года»</w:t>
            </w:r>
          </w:p>
        </w:tc>
      </w:tr>
      <w:permEnd w:id="147093321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6727F" w:rsidRPr="00F6727F" w:rsidRDefault="00F6727F" w:rsidP="00F6727F">
      <w:pPr>
        <w:widowControl w:val="0"/>
        <w:ind w:firstLine="709"/>
        <w:jc w:val="both"/>
        <w:rPr>
          <w:sz w:val="28"/>
          <w:szCs w:val="28"/>
        </w:rPr>
      </w:pPr>
      <w:permStart w:id="424113296" w:edGrp="everyone"/>
      <w:r w:rsidRPr="00F6727F">
        <w:rPr>
          <w:sz w:val="28"/>
          <w:szCs w:val="28"/>
        </w:rPr>
        <w:t xml:space="preserve">В </w:t>
      </w:r>
      <w:r w:rsidR="004D5BDA">
        <w:rPr>
          <w:sz w:val="28"/>
          <w:szCs w:val="28"/>
        </w:rPr>
        <w:t>соответствии с</w:t>
      </w:r>
      <w:r w:rsidRPr="00F6727F">
        <w:rPr>
          <w:sz w:val="28"/>
          <w:szCs w:val="28"/>
        </w:rPr>
        <w:t xml:space="preserve"> Закон</w:t>
      </w:r>
      <w:r w:rsidR="004D5BDA">
        <w:rPr>
          <w:sz w:val="28"/>
          <w:szCs w:val="28"/>
        </w:rPr>
        <w:t>ом</w:t>
      </w:r>
      <w:r w:rsidRPr="00F6727F">
        <w:rPr>
          <w:sz w:val="28"/>
          <w:szCs w:val="28"/>
        </w:rPr>
        <w:t xml:space="preserve"> Свердловской области от 26.07.2022 </w:t>
      </w:r>
      <w:r>
        <w:rPr>
          <w:sz w:val="28"/>
          <w:szCs w:val="28"/>
        </w:rPr>
        <w:br/>
      </w:r>
      <w:r w:rsidRPr="00F6727F">
        <w:rPr>
          <w:sz w:val="28"/>
          <w:szCs w:val="28"/>
        </w:rPr>
        <w:t xml:space="preserve">№ 95-ОЗ «О внесении изменения в Закон Свердловской области </w:t>
      </w:r>
      <w:r>
        <w:rPr>
          <w:sz w:val="28"/>
          <w:szCs w:val="28"/>
        </w:rPr>
        <w:br/>
      </w:r>
      <w:r w:rsidRPr="00F6727F">
        <w:rPr>
          <w:sz w:val="28"/>
          <w:szCs w:val="28"/>
        </w:rPr>
        <w:t>«Об образовании в Свердловской области», руководствуясь статьей 35 Устава муниципального образования «город Екатерин</w:t>
      </w:r>
      <w:bookmarkStart w:id="0" w:name="_GoBack"/>
      <w:bookmarkEnd w:id="0"/>
      <w:r w:rsidRPr="00F6727F">
        <w:rPr>
          <w:sz w:val="28"/>
          <w:szCs w:val="28"/>
        </w:rPr>
        <w:t>бург»,</w:t>
      </w:r>
    </w:p>
    <w:permEnd w:id="424113296"/>
    <w:p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C024F2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250130259" w:edGrp="everyone"/>
    </w:p>
    <w:p w:rsidR="00C12F78" w:rsidRPr="00C12F78" w:rsidRDefault="008828A4" w:rsidP="00C12F78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828A4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8828A4">
        <w:rPr>
          <w:sz w:val="28"/>
          <w:szCs w:val="28"/>
        </w:rPr>
        <w:t xml:space="preserve"> </w:t>
      </w:r>
      <w:r w:rsidR="00C12F78">
        <w:rPr>
          <w:sz w:val="28"/>
          <w:szCs w:val="28"/>
        </w:rPr>
        <w:t xml:space="preserve">в </w:t>
      </w:r>
      <w:r w:rsidRPr="008828A4">
        <w:rPr>
          <w:sz w:val="28"/>
          <w:szCs w:val="28"/>
        </w:rPr>
        <w:t>Постановлени</w:t>
      </w:r>
      <w:r w:rsidR="00381D95">
        <w:rPr>
          <w:sz w:val="28"/>
          <w:szCs w:val="28"/>
        </w:rPr>
        <w:t>е</w:t>
      </w:r>
      <w:r w:rsidRPr="008828A4">
        <w:rPr>
          <w:sz w:val="28"/>
          <w:szCs w:val="28"/>
        </w:rPr>
        <w:t xml:space="preserve"> Администрации города Екатеринбурга от 24.06.2022 № 1743 «Об организации питания обучающихся в муниципальных общеобразовательных организациях в первом полугодии 2022/202</w:t>
      </w:r>
      <w:r w:rsidR="004D5BDA">
        <w:rPr>
          <w:sz w:val="28"/>
          <w:szCs w:val="28"/>
        </w:rPr>
        <w:t>3</w:t>
      </w:r>
      <w:r w:rsidRPr="008828A4">
        <w:rPr>
          <w:sz w:val="28"/>
          <w:szCs w:val="28"/>
        </w:rPr>
        <w:t xml:space="preserve"> учебного года»</w:t>
      </w:r>
      <w:r w:rsidR="00C12F78">
        <w:rPr>
          <w:sz w:val="28"/>
          <w:szCs w:val="28"/>
        </w:rPr>
        <w:t xml:space="preserve">, изложив </w:t>
      </w:r>
      <w:r w:rsidR="00381D95">
        <w:rPr>
          <w:sz w:val="28"/>
          <w:szCs w:val="28"/>
        </w:rPr>
        <w:t>подпункты 1, 2 пункта 1</w:t>
      </w:r>
      <w:r w:rsidR="00C12F78">
        <w:rPr>
          <w:sz w:val="28"/>
          <w:szCs w:val="28"/>
        </w:rPr>
        <w:t xml:space="preserve"> в следующей редакции:</w:t>
      </w:r>
    </w:p>
    <w:p w:rsidR="00F21A63" w:rsidRPr="00D41DE4" w:rsidRDefault="00126F84" w:rsidP="00F21A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28A4">
        <w:rPr>
          <w:sz w:val="28"/>
          <w:szCs w:val="28"/>
        </w:rPr>
        <w:t xml:space="preserve">1) </w:t>
      </w:r>
      <w:r w:rsidR="00F21A63" w:rsidRPr="00D41DE4">
        <w:rPr>
          <w:sz w:val="28"/>
          <w:szCs w:val="28"/>
        </w:rPr>
        <w:t>на обеспечение бесплатным одноразовым питанием (завтрак) обучающихся в первую смену:</w:t>
      </w:r>
    </w:p>
    <w:p w:rsidR="00F21A63" w:rsidRPr="00D41DE4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93</w:t>
      </w:r>
      <w:r w:rsidRPr="00D41DE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57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F21A63" w:rsidRPr="00D41DE4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21A63" w:rsidRPr="00D41DE4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F21A63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детей-сирот, детей, оставшихся без попечения родителей, лиц из числа </w:t>
      </w:r>
      <w:r w:rsidRPr="00D41DE4">
        <w:rPr>
          <w:sz w:val="28"/>
          <w:szCs w:val="28"/>
        </w:rPr>
        <w:lastRenderedPageBreak/>
        <w:t xml:space="preserve">детей-сирот и детей, оставшихся без попечения родителей (основание: заявление законных представителей обучающегося, справка </w:t>
      </w:r>
      <w:r w:rsidR="00F2080D"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F21A63" w:rsidRPr="00D41DE4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 w:rsidR="00126F84"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="005E2C7B"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 w:rsidR="005E2C7B">
        <w:rPr>
          <w:sz w:val="28"/>
          <w:szCs w:val="28"/>
        </w:rPr>
        <w:t xml:space="preserve">, </w:t>
      </w:r>
      <w:r w:rsidR="004824A1">
        <w:rPr>
          <w:sz w:val="28"/>
          <w:szCs w:val="28"/>
        </w:rPr>
        <w:t>справка об участии в специальной военной операции на территории Украины, Донецкой Народной Республики, Луганской Народной Республики, выданн</w:t>
      </w:r>
      <w:r w:rsidR="00126F84">
        <w:rPr>
          <w:sz w:val="28"/>
          <w:szCs w:val="28"/>
        </w:rPr>
        <w:t xml:space="preserve">ая </w:t>
      </w:r>
      <w:r w:rsidR="004824A1">
        <w:rPr>
          <w:sz w:val="28"/>
          <w:szCs w:val="28"/>
        </w:rPr>
        <w:t>воинск</w:t>
      </w:r>
      <w:r w:rsidR="00126F84">
        <w:rPr>
          <w:sz w:val="28"/>
          <w:szCs w:val="28"/>
        </w:rPr>
        <w:t>ой</w:t>
      </w:r>
      <w:r w:rsidR="004824A1">
        <w:rPr>
          <w:sz w:val="28"/>
          <w:szCs w:val="28"/>
        </w:rPr>
        <w:t xml:space="preserve"> част</w:t>
      </w:r>
      <w:r w:rsidR="00126F84">
        <w:rPr>
          <w:sz w:val="28"/>
          <w:szCs w:val="28"/>
        </w:rPr>
        <w:t>ью</w:t>
      </w:r>
      <w:r w:rsidR="004824A1">
        <w:rPr>
          <w:sz w:val="28"/>
          <w:szCs w:val="28"/>
        </w:rPr>
        <w:t>, военным комиссариат</w:t>
      </w:r>
      <w:r w:rsidR="00126F84">
        <w:rPr>
          <w:sz w:val="28"/>
          <w:szCs w:val="28"/>
        </w:rPr>
        <w:t>ом</w:t>
      </w:r>
      <w:r w:rsidR="004824A1">
        <w:rPr>
          <w:sz w:val="28"/>
          <w:szCs w:val="28"/>
        </w:rPr>
        <w:t xml:space="preserve">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B20C0C" w:rsidRPr="0066643D" w:rsidRDefault="00B20C0C" w:rsidP="00B20C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</w:t>
      </w:r>
      <w:r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 w:rsidR="00877163">
        <w:rPr>
          <w:sz w:val="28"/>
          <w:szCs w:val="28"/>
        </w:rPr>
        <w:t xml:space="preserve"> после 18</w:t>
      </w:r>
      <w:r w:rsidR="00806108">
        <w:rPr>
          <w:sz w:val="28"/>
          <w:szCs w:val="28"/>
        </w:rPr>
        <w:t>.02.2</w:t>
      </w:r>
      <w:r w:rsidR="00877163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 w:rsidR="00877163"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 w:rsidR="00877163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 w:rsidR="00877163"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 или разрешение на временное проживание в Российской Федерации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21A63" w:rsidRDefault="00F21A63" w:rsidP="00F21A63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81</w:t>
      </w:r>
      <w:r w:rsidRPr="00D41DE4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41DE4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C25A5D" w:rsidRPr="00C25A5D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>на обеспечение бесплатным одноразовым питанием (обед) обучающихся во вторую смену:</w:t>
      </w:r>
    </w:p>
    <w:p w:rsidR="00C25A5D" w:rsidRPr="00C25A5D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не более 140 рублей 37 копеек в день на одного человека из числа обучающихся в 5 – 11-х классах, относящихся к категориям:</w:t>
      </w:r>
    </w:p>
    <w:p w:rsidR="00C25A5D" w:rsidRPr="00C25A5D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</w:t>
      </w:r>
      <w:r w:rsidRPr="00C25A5D">
        <w:rPr>
          <w:sz w:val="28"/>
          <w:szCs w:val="28"/>
        </w:rPr>
        <w:lastRenderedPageBreak/>
        <w:t>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C25A5D" w:rsidRPr="00C25A5D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</w:t>
      </w:r>
      <w:r w:rsidR="00126F84">
        <w:rPr>
          <w:sz w:val="28"/>
          <w:szCs w:val="28"/>
        </w:rPr>
        <w:t xml:space="preserve"> </w:t>
      </w:r>
      <w:r w:rsidRPr="00C25A5D">
        <w:rPr>
          <w:sz w:val="28"/>
          <w:szCs w:val="28"/>
        </w:rPr>
        <w:t>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C25A5D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 w:rsidR="005E2C7B"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из территориального отдела опеки и попечительства по месту </w:t>
      </w:r>
      <w:r w:rsidR="00F2080D"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жительства обучающегося, страховой номер индивидуального лицевого счета </w:t>
      </w:r>
      <w:r w:rsidR="005F16B0"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 w:rsidR="00381D95">
        <w:rPr>
          <w:sz w:val="28"/>
          <w:szCs w:val="28"/>
        </w:rPr>
        <w:t>,</w:t>
      </w:r>
    </w:p>
    <w:p w:rsidR="007D3445" w:rsidRDefault="00D84681" w:rsidP="007D3445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="005E2C7B"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 w:rsidR="005E2C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справка об участии в специальной военной операции на территории Украины, Донецкой Народной Республики, Луганской Народной Республики, выданная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D84681" w:rsidRPr="0066643D" w:rsidRDefault="00D84681" w:rsidP="007D34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детей</w:t>
      </w:r>
      <w:r w:rsidR="002D68DA">
        <w:rPr>
          <w:sz w:val="28"/>
          <w:szCs w:val="28"/>
        </w:rPr>
        <w:t xml:space="preserve">, </w:t>
      </w:r>
      <w:r w:rsidR="002D68DA"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 w:rsidR="002D68DA"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 w:rsidR="00877163">
        <w:rPr>
          <w:sz w:val="28"/>
          <w:szCs w:val="28"/>
        </w:rPr>
        <w:t xml:space="preserve"> после 18</w:t>
      </w:r>
      <w:r w:rsidR="00806108">
        <w:rPr>
          <w:sz w:val="28"/>
          <w:szCs w:val="28"/>
        </w:rPr>
        <w:t>.02.</w:t>
      </w:r>
      <w:r w:rsidR="00877163">
        <w:rPr>
          <w:sz w:val="28"/>
          <w:szCs w:val="28"/>
        </w:rPr>
        <w:t xml:space="preserve">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="005E2C7B" w:rsidRPr="00C25A5D">
        <w:rPr>
          <w:sz w:val="28"/>
          <w:szCs w:val="28"/>
        </w:rPr>
        <w:t xml:space="preserve">страховой номер индивидуального лицевого счета </w:t>
      </w:r>
      <w:r w:rsidR="00806108">
        <w:rPr>
          <w:sz w:val="28"/>
          <w:szCs w:val="28"/>
        </w:rPr>
        <w:br/>
      </w:r>
      <w:r w:rsidR="005E2C7B"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 w:rsidR="005E2C7B">
        <w:rPr>
          <w:sz w:val="28"/>
          <w:szCs w:val="28"/>
        </w:rPr>
        <w:t>,</w:t>
      </w:r>
      <w:r w:rsidR="005E2C7B" w:rsidRPr="0066643D">
        <w:rPr>
          <w:sz w:val="28"/>
          <w:szCs w:val="28"/>
        </w:rPr>
        <w:t xml:space="preserve">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 w:rsidR="00877163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="002D68DA" w:rsidRPr="002D68DA">
        <w:rPr>
          <w:sz w:val="28"/>
          <w:szCs w:val="28"/>
        </w:rPr>
        <w:t xml:space="preserve">свидетельство о рассмотрении ходатайства </w:t>
      </w:r>
      <w:r w:rsidR="00877163">
        <w:rPr>
          <w:sz w:val="28"/>
          <w:szCs w:val="28"/>
        </w:rPr>
        <w:br/>
      </w:r>
      <w:r w:rsidR="002D68DA"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 или разрешение на временное проживание в Российской Федерации</w:t>
      </w:r>
      <w:r w:rsidR="00A124EE">
        <w:rPr>
          <w:sz w:val="28"/>
          <w:szCs w:val="28"/>
        </w:rPr>
        <w:t xml:space="preserve"> </w:t>
      </w:r>
      <w:r w:rsidR="00A124EE"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828A4" w:rsidRPr="00D84681" w:rsidRDefault="00C25A5D" w:rsidP="00C25A5D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121 рубля 52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</w:t>
      </w:r>
      <w:r w:rsidRPr="00C25A5D">
        <w:rPr>
          <w:sz w:val="28"/>
          <w:szCs w:val="28"/>
        </w:rPr>
        <w:lastRenderedPageBreak/>
        <w:t>страхования (СНИЛС) обучающегося, приказ директора муниципальной общеобразовательной организации);</w:t>
      </w:r>
      <w:r w:rsidR="00D84681">
        <w:rPr>
          <w:sz w:val="28"/>
          <w:szCs w:val="28"/>
        </w:rPr>
        <w:t>».</w:t>
      </w:r>
    </w:p>
    <w:p w:rsidR="00F6727F" w:rsidRPr="00D84681" w:rsidRDefault="00F6727F" w:rsidP="00F6727F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686226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</w:t>
      </w:r>
      <w:r w:rsidR="00D84681" w:rsidRPr="00D84681">
        <w:rPr>
          <w:sz w:val="28"/>
          <w:szCs w:val="28"/>
        </w:rPr>
        <w:t xml:space="preserve"> </w:t>
      </w:r>
      <w:r w:rsidRPr="005E2C7B">
        <w:rPr>
          <w:sz w:val="28"/>
          <w:szCs w:val="28"/>
        </w:rPr>
        <w:t>Администрации города Екатеринбурга в информационно</w:t>
      </w:r>
      <w:r w:rsidR="005E2C7B">
        <w:rPr>
          <w:sz w:val="28"/>
          <w:szCs w:val="28"/>
        </w:rPr>
        <w:t>-</w:t>
      </w:r>
      <w:r w:rsidRPr="005E2C7B">
        <w:rPr>
          <w:sz w:val="28"/>
          <w:szCs w:val="28"/>
        </w:rPr>
        <w:t>телекоммуникационной сети Интернет (</w:t>
      </w:r>
      <w:proofErr w:type="spellStart"/>
      <w:r w:rsidRPr="005E2C7B">
        <w:rPr>
          <w:sz w:val="28"/>
          <w:szCs w:val="28"/>
        </w:rPr>
        <w:t>екатеринбург</w:t>
      </w:r>
      <w:proofErr w:type="gramStart"/>
      <w:r w:rsidRPr="005E2C7B">
        <w:rPr>
          <w:sz w:val="28"/>
          <w:szCs w:val="28"/>
        </w:rPr>
        <w:t>.р</w:t>
      </w:r>
      <w:proofErr w:type="gramEnd"/>
      <w:r w:rsidRPr="005E2C7B">
        <w:rPr>
          <w:sz w:val="28"/>
          <w:szCs w:val="28"/>
        </w:rPr>
        <w:t>ф</w:t>
      </w:r>
      <w:proofErr w:type="spellEnd"/>
      <w:r w:rsidRPr="005E2C7B">
        <w:rPr>
          <w:sz w:val="28"/>
          <w:szCs w:val="28"/>
        </w:rPr>
        <w:t>) в установленный срок.</w:t>
      </w:r>
    </w:p>
    <w:p w:rsidR="00F6727F" w:rsidRDefault="00F6727F" w:rsidP="00F6727F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D3445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Екатеринбурга </w:t>
      </w:r>
      <w:proofErr w:type="spellStart"/>
      <w:r>
        <w:rPr>
          <w:sz w:val="28"/>
          <w:szCs w:val="28"/>
        </w:rPr>
        <w:t>Сибирцеву</w:t>
      </w:r>
      <w:proofErr w:type="spellEnd"/>
      <w:r>
        <w:rPr>
          <w:sz w:val="28"/>
          <w:szCs w:val="28"/>
        </w:rPr>
        <w:t xml:space="preserve"> Е.А.</w:t>
      </w:r>
    </w:p>
    <w:p w:rsidR="00D84681" w:rsidRPr="00C10A2E" w:rsidRDefault="00D84681" w:rsidP="00C25A5D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:rsidTr="00744DB9">
        <w:tc>
          <w:tcPr>
            <w:tcW w:w="6237" w:type="dxa"/>
            <w:vAlign w:val="bottom"/>
          </w:tcPr>
          <w:p w:rsidR="00744DB9" w:rsidRPr="00C10A2E" w:rsidRDefault="00744DB9" w:rsidP="00095B56">
            <w:pPr>
              <w:rPr>
                <w:sz w:val="28"/>
                <w:szCs w:val="28"/>
              </w:rPr>
            </w:pPr>
            <w:permStart w:id="786649654" w:edGrp="everyone" w:colFirst="0" w:colLast="0"/>
            <w:permStart w:id="1119356409" w:edGrp="everyone" w:colFirst="1" w:colLast="1"/>
            <w:permEnd w:id="1250130259"/>
          </w:p>
        </w:tc>
        <w:tc>
          <w:tcPr>
            <w:tcW w:w="3344" w:type="dxa"/>
            <w:vAlign w:val="bottom"/>
          </w:tcPr>
          <w:p w:rsidR="00723EBB" w:rsidRPr="004E410B" w:rsidRDefault="00723EBB" w:rsidP="00E71979">
            <w:pPr>
              <w:jc w:val="right"/>
              <w:rPr>
                <w:sz w:val="28"/>
                <w:szCs w:val="28"/>
              </w:rPr>
            </w:pPr>
          </w:p>
        </w:tc>
      </w:tr>
    </w:tbl>
    <w:p w:rsidR="005C2B29" w:rsidRPr="00D84681" w:rsidRDefault="00D84681" w:rsidP="000F61AC">
      <w:pPr>
        <w:pStyle w:val="ConsNormal"/>
        <w:widowControl/>
        <w:ind w:firstLine="0"/>
        <w:rPr>
          <w:rFonts w:ascii="Liberation Serif" w:hAnsi="Liberation Serif"/>
        </w:rPr>
      </w:pPr>
      <w:permStart w:id="2123579225" w:edGrp="everyone"/>
      <w:permEnd w:id="786649654"/>
      <w:permEnd w:id="1119356409"/>
      <w:proofErr w:type="spellStart"/>
      <w:r w:rsidRPr="00D84681">
        <w:rPr>
          <w:rFonts w:ascii="Liberation Serif" w:hAnsi="Liberation Serif"/>
          <w:sz w:val="28"/>
          <w:szCs w:val="28"/>
          <w:lang w:val="en-US"/>
        </w:rPr>
        <w:t>Глава</w:t>
      </w:r>
      <w:proofErr w:type="spellEnd"/>
      <w:r w:rsidRPr="00D84681">
        <w:rPr>
          <w:rFonts w:ascii="Liberation Serif" w:hAnsi="Liberation Serif"/>
          <w:sz w:val="28"/>
          <w:szCs w:val="28"/>
          <w:lang w:val="en-US"/>
        </w:rPr>
        <w:t xml:space="preserve"> </w:t>
      </w:r>
      <w:proofErr w:type="spellStart"/>
      <w:r w:rsidRPr="00D84681">
        <w:rPr>
          <w:rFonts w:ascii="Liberation Serif" w:hAnsi="Liberation Serif"/>
          <w:sz w:val="28"/>
          <w:szCs w:val="28"/>
          <w:lang w:val="en-US"/>
        </w:rPr>
        <w:t>Екатеринбурга</w:t>
      </w:r>
      <w:proofErr w:type="spellEnd"/>
      <w:r w:rsidRPr="00D84681">
        <w:t xml:space="preserve"> </w:t>
      </w:r>
      <w:r>
        <w:t xml:space="preserve">                                                                                                     </w:t>
      </w:r>
      <w:r w:rsidRPr="00D84681">
        <w:rPr>
          <w:rFonts w:ascii="Liberation Serif" w:hAnsi="Liberation Serif"/>
          <w:sz w:val="28"/>
          <w:szCs w:val="28"/>
          <w:lang w:val="en-US"/>
        </w:rPr>
        <w:t xml:space="preserve">А.В. </w:t>
      </w:r>
      <w:proofErr w:type="spellStart"/>
      <w:r w:rsidRPr="00D84681">
        <w:rPr>
          <w:rFonts w:ascii="Liberation Serif" w:hAnsi="Liberation Serif"/>
          <w:sz w:val="28"/>
          <w:szCs w:val="28"/>
          <w:lang w:val="en-US"/>
        </w:rPr>
        <w:t>Орлов</w:t>
      </w:r>
      <w:permEnd w:id="2123579225"/>
      <w:proofErr w:type="spellEnd"/>
    </w:p>
    <w:sectPr w:rsidR="005C2B29" w:rsidRPr="00D84681" w:rsidSect="009F48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93" w:rsidRDefault="00625893">
      <w:r>
        <w:separator/>
      </w:r>
    </w:p>
  </w:endnote>
  <w:endnote w:type="continuationSeparator" w:id="0">
    <w:p w:rsidR="00625893" w:rsidRDefault="0062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Вр-4714598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4476F6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Вр-4714598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93" w:rsidRDefault="00625893">
      <w:r>
        <w:separator/>
      </w:r>
    </w:p>
  </w:footnote>
  <w:footnote w:type="continuationSeparator" w:id="0">
    <w:p w:rsidR="00625893" w:rsidRDefault="0062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84383484" w:edGrp="everyone"/>
  <w:p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4476F6">
      <w:rPr>
        <w:noProof/>
      </w:rPr>
      <w:t>2</w:t>
    </w:r>
    <w:r>
      <w:fldChar w:fldCharType="end"/>
    </w:r>
  </w:p>
  <w:permEnd w:id="284383484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10AAA" w:rsidP="00810AAA">
    <w:pPr>
      <w:pStyle w:val="a5"/>
      <w:jc w:val="center"/>
    </w:pPr>
    <w:permStart w:id="5530330" w:edGrp="everyone"/>
    <w:permEnd w:id="55303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98057B"/>
    <w:multiLevelType w:val="hybridMultilevel"/>
    <w:tmpl w:val="84844A92"/>
    <w:lvl w:ilvl="0" w:tplc="645463FE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6BF"/>
    <w:rsid w:val="0002763E"/>
    <w:rsid w:val="00033532"/>
    <w:rsid w:val="00040C7C"/>
    <w:rsid w:val="000412DD"/>
    <w:rsid w:val="00044D38"/>
    <w:rsid w:val="00046ADA"/>
    <w:rsid w:val="00053826"/>
    <w:rsid w:val="000568FC"/>
    <w:rsid w:val="00061DD4"/>
    <w:rsid w:val="00065C17"/>
    <w:rsid w:val="00067BF5"/>
    <w:rsid w:val="00071BF8"/>
    <w:rsid w:val="00095B56"/>
    <w:rsid w:val="000976F7"/>
    <w:rsid w:val="000A2D6E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26F84"/>
    <w:rsid w:val="001379F9"/>
    <w:rsid w:val="00137AA8"/>
    <w:rsid w:val="0017157D"/>
    <w:rsid w:val="00186AC2"/>
    <w:rsid w:val="0019138C"/>
    <w:rsid w:val="0019343D"/>
    <w:rsid w:val="001A0B28"/>
    <w:rsid w:val="001B2888"/>
    <w:rsid w:val="001B63AF"/>
    <w:rsid w:val="001B71EC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977"/>
    <w:rsid w:val="002A4EFA"/>
    <w:rsid w:val="002A6F43"/>
    <w:rsid w:val="002B1713"/>
    <w:rsid w:val="002B2446"/>
    <w:rsid w:val="002B3A9C"/>
    <w:rsid w:val="002B71F5"/>
    <w:rsid w:val="002C0C0B"/>
    <w:rsid w:val="002C207C"/>
    <w:rsid w:val="002C309E"/>
    <w:rsid w:val="002D0033"/>
    <w:rsid w:val="002D0328"/>
    <w:rsid w:val="002D68DA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1D95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476F6"/>
    <w:rsid w:val="00454F01"/>
    <w:rsid w:val="004574CC"/>
    <w:rsid w:val="004824A1"/>
    <w:rsid w:val="00485F86"/>
    <w:rsid w:val="004B22EE"/>
    <w:rsid w:val="004B5B0D"/>
    <w:rsid w:val="004B6C95"/>
    <w:rsid w:val="004B7607"/>
    <w:rsid w:val="004C046D"/>
    <w:rsid w:val="004C09B4"/>
    <w:rsid w:val="004D089E"/>
    <w:rsid w:val="004D5BDA"/>
    <w:rsid w:val="004D6618"/>
    <w:rsid w:val="004E410B"/>
    <w:rsid w:val="004E5226"/>
    <w:rsid w:val="004F167E"/>
    <w:rsid w:val="005337FE"/>
    <w:rsid w:val="00536215"/>
    <w:rsid w:val="00545DCB"/>
    <w:rsid w:val="005560F0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E2C7B"/>
    <w:rsid w:val="005F076E"/>
    <w:rsid w:val="005F0A4A"/>
    <w:rsid w:val="005F16B0"/>
    <w:rsid w:val="00621AA5"/>
    <w:rsid w:val="006230BE"/>
    <w:rsid w:val="00625893"/>
    <w:rsid w:val="00626338"/>
    <w:rsid w:val="00643959"/>
    <w:rsid w:val="00651045"/>
    <w:rsid w:val="00654DF7"/>
    <w:rsid w:val="0065508B"/>
    <w:rsid w:val="00662C99"/>
    <w:rsid w:val="0066643D"/>
    <w:rsid w:val="00667335"/>
    <w:rsid w:val="006673C6"/>
    <w:rsid w:val="006746FA"/>
    <w:rsid w:val="00677416"/>
    <w:rsid w:val="00686C95"/>
    <w:rsid w:val="0068705E"/>
    <w:rsid w:val="006B76C6"/>
    <w:rsid w:val="006C07AA"/>
    <w:rsid w:val="006C7560"/>
    <w:rsid w:val="006D192D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3445"/>
    <w:rsid w:val="007D798D"/>
    <w:rsid w:val="007F4089"/>
    <w:rsid w:val="008017B0"/>
    <w:rsid w:val="00806108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77163"/>
    <w:rsid w:val="008801BF"/>
    <w:rsid w:val="008828A4"/>
    <w:rsid w:val="00883C4E"/>
    <w:rsid w:val="008A6AAF"/>
    <w:rsid w:val="008B1D59"/>
    <w:rsid w:val="008C57BF"/>
    <w:rsid w:val="008C6B7A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24EE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32F5"/>
    <w:rsid w:val="00AB4873"/>
    <w:rsid w:val="00AF0248"/>
    <w:rsid w:val="00AF0D82"/>
    <w:rsid w:val="00AF0E6C"/>
    <w:rsid w:val="00AF5757"/>
    <w:rsid w:val="00B02189"/>
    <w:rsid w:val="00B20C0C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2493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12F78"/>
    <w:rsid w:val="00C25572"/>
    <w:rsid w:val="00C25A5D"/>
    <w:rsid w:val="00C32882"/>
    <w:rsid w:val="00C35504"/>
    <w:rsid w:val="00C37A4A"/>
    <w:rsid w:val="00C44FDD"/>
    <w:rsid w:val="00C53275"/>
    <w:rsid w:val="00C7208B"/>
    <w:rsid w:val="00C74D8A"/>
    <w:rsid w:val="00C76F71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468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09DC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EF589E"/>
    <w:rsid w:val="00F02D5B"/>
    <w:rsid w:val="00F05DC0"/>
    <w:rsid w:val="00F07B77"/>
    <w:rsid w:val="00F2080D"/>
    <w:rsid w:val="00F21A63"/>
    <w:rsid w:val="00F22728"/>
    <w:rsid w:val="00F30BD1"/>
    <w:rsid w:val="00F403F4"/>
    <w:rsid w:val="00F417D6"/>
    <w:rsid w:val="00F537A7"/>
    <w:rsid w:val="00F63F60"/>
    <w:rsid w:val="00F643D0"/>
    <w:rsid w:val="00F6727F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B20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882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B20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88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C5E74-7F39-49F2-8003-0409FD873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1F652-A674-4C1D-BF4A-69E5CF59A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75A7-4BBE-47AA-9755-F95628753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7271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1</cp:lastModifiedBy>
  <cp:revision>2</cp:revision>
  <cp:lastPrinted>2022-11-10T10:31:00Z</cp:lastPrinted>
  <dcterms:created xsi:type="dcterms:W3CDTF">2022-11-10T10:33:00Z</dcterms:created>
  <dcterms:modified xsi:type="dcterms:W3CDTF">2022-11-10T10:33:00Z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